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D5" w:rsidRDefault="005046D5" w:rsidP="005046D5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Amiri"/>
          <w:b/>
          <w:color w:val="00000A"/>
          <w:sz w:val="22"/>
          <w:szCs w:val="22"/>
        </w:rPr>
      </w:pPr>
    </w:p>
    <w:p w:rsidR="005046D5" w:rsidRDefault="005046D5" w:rsidP="005046D5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Amiri"/>
          <w:b/>
          <w:color w:val="00000A"/>
          <w:sz w:val="22"/>
          <w:szCs w:val="22"/>
        </w:rPr>
      </w:pPr>
    </w:p>
    <w:p w:rsidR="0084431E" w:rsidRDefault="0084431E" w:rsidP="002E350C">
      <w:pPr>
        <w:spacing w:after="160" w:line="259" w:lineRule="auto"/>
        <w:jc w:val="center"/>
        <w:rPr>
          <w:rFonts w:eastAsiaTheme="minorHAnsi"/>
          <w:b/>
          <w:bCs/>
          <w:sz w:val="40"/>
          <w:szCs w:val="40"/>
          <w:u w:val="single"/>
          <w:lang w:eastAsia="en-US"/>
        </w:rPr>
      </w:pPr>
    </w:p>
    <w:p w:rsidR="009E45DB" w:rsidRDefault="00B327D1" w:rsidP="00DE3155">
      <w:pPr>
        <w:spacing w:after="160"/>
        <w:jc w:val="center"/>
        <w:rPr>
          <w:rFonts w:eastAsiaTheme="minorHAnsi"/>
          <w:b/>
          <w:bCs/>
          <w:sz w:val="40"/>
          <w:szCs w:val="40"/>
          <w:u w:val="single"/>
          <w:lang w:eastAsia="en-US"/>
        </w:rPr>
      </w:pPr>
      <w:r>
        <w:rPr>
          <w:rFonts w:eastAsiaTheme="minorHAnsi"/>
          <w:b/>
          <w:bCs/>
          <w:sz w:val="40"/>
          <w:szCs w:val="40"/>
          <w:u w:val="single"/>
          <w:lang w:eastAsia="en-US"/>
        </w:rPr>
        <w:t xml:space="preserve">AVVISO ACCONTO </w:t>
      </w:r>
      <w:r w:rsidR="002E350C" w:rsidRPr="002E350C">
        <w:rPr>
          <w:rFonts w:eastAsiaTheme="minorHAnsi"/>
          <w:b/>
          <w:bCs/>
          <w:sz w:val="40"/>
          <w:szCs w:val="40"/>
          <w:u w:val="single"/>
          <w:lang w:eastAsia="en-US"/>
        </w:rPr>
        <w:t xml:space="preserve">IMU </w:t>
      </w:r>
      <w:r w:rsidR="00270D4E">
        <w:rPr>
          <w:rFonts w:eastAsiaTheme="minorHAnsi"/>
          <w:b/>
          <w:bCs/>
          <w:sz w:val="40"/>
          <w:szCs w:val="40"/>
          <w:u w:val="single"/>
          <w:lang w:eastAsia="en-US"/>
        </w:rPr>
        <w:t>2021</w:t>
      </w:r>
    </w:p>
    <w:p w:rsidR="002D5853" w:rsidRDefault="002E350C" w:rsidP="002D5853">
      <w:pPr>
        <w:jc w:val="both"/>
        <w:rPr>
          <w:color w:val="1C2024"/>
          <w:sz w:val="22"/>
          <w:szCs w:val="22"/>
        </w:rPr>
      </w:pPr>
      <w:r w:rsidRPr="00B327D1">
        <w:rPr>
          <w:rFonts w:eastAsiaTheme="minorHAnsi"/>
          <w:sz w:val="22"/>
          <w:szCs w:val="22"/>
          <w:lang w:eastAsia="en-US"/>
        </w:rPr>
        <w:t xml:space="preserve">Si informano i contribuenti che </w:t>
      </w:r>
      <w:r w:rsidR="00270D4E" w:rsidRPr="00B327D1">
        <w:rPr>
          <w:rFonts w:eastAsiaTheme="minorHAnsi"/>
          <w:sz w:val="22"/>
          <w:szCs w:val="22"/>
          <w:lang w:eastAsia="en-US"/>
        </w:rPr>
        <w:t xml:space="preserve">la </w:t>
      </w:r>
      <w:r w:rsidR="00270D4E" w:rsidRPr="00B327D1">
        <w:rPr>
          <w:color w:val="1C2024"/>
          <w:sz w:val="22"/>
          <w:szCs w:val="22"/>
        </w:rPr>
        <w:t xml:space="preserve">Scadenza dell'Acconto </w:t>
      </w:r>
      <w:proofErr w:type="spellStart"/>
      <w:r w:rsidR="00270D4E" w:rsidRPr="00B327D1">
        <w:rPr>
          <w:color w:val="1C2024"/>
          <w:sz w:val="22"/>
          <w:szCs w:val="22"/>
        </w:rPr>
        <w:t>Imu</w:t>
      </w:r>
      <w:proofErr w:type="spellEnd"/>
      <w:r w:rsidR="00270D4E" w:rsidRPr="00B327D1">
        <w:rPr>
          <w:color w:val="1C2024"/>
          <w:sz w:val="22"/>
          <w:szCs w:val="22"/>
        </w:rPr>
        <w:t xml:space="preserve"> relativo all'annualità 2021 è fissata</w:t>
      </w:r>
      <w:r w:rsidR="005448F1" w:rsidRPr="00B327D1">
        <w:rPr>
          <w:color w:val="1C2024"/>
          <w:sz w:val="22"/>
          <w:szCs w:val="22"/>
        </w:rPr>
        <w:t>,</w:t>
      </w:r>
      <w:r w:rsidR="00270D4E" w:rsidRPr="00B327D1">
        <w:rPr>
          <w:color w:val="1C2024"/>
          <w:sz w:val="22"/>
          <w:szCs w:val="22"/>
        </w:rPr>
        <w:t xml:space="preserve"> </w:t>
      </w:r>
      <w:r w:rsidR="005448F1" w:rsidRPr="00B327D1">
        <w:rPr>
          <w:color w:val="1C2024"/>
          <w:sz w:val="22"/>
          <w:szCs w:val="22"/>
        </w:rPr>
        <w:t xml:space="preserve">come sempre, </w:t>
      </w:r>
      <w:r w:rsidR="00270D4E" w:rsidRPr="00B327D1">
        <w:rPr>
          <w:color w:val="1C2024"/>
          <w:sz w:val="22"/>
          <w:szCs w:val="22"/>
        </w:rPr>
        <w:t>per il </w:t>
      </w:r>
    </w:p>
    <w:p w:rsidR="00583160" w:rsidRPr="00B327D1" w:rsidRDefault="00583160" w:rsidP="002D5853">
      <w:pPr>
        <w:jc w:val="both"/>
        <w:rPr>
          <w:color w:val="1C2024"/>
          <w:sz w:val="22"/>
          <w:szCs w:val="22"/>
        </w:rPr>
      </w:pPr>
    </w:p>
    <w:p w:rsidR="00270D4E" w:rsidRDefault="00270D4E" w:rsidP="002D5853">
      <w:pPr>
        <w:jc w:val="center"/>
        <w:rPr>
          <w:b/>
          <w:bCs/>
          <w:color w:val="1C2024"/>
          <w:sz w:val="28"/>
          <w:szCs w:val="28"/>
        </w:rPr>
      </w:pPr>
      <w:r w:rsidRPr="005138F3">
        <w:rPr>
          <w:b/>
          <w:bCs/>
          <w:color w:val="1C2024"/>
          <w:sz w:val="28"/>
          <w:szCs w:val="28"/>
        </w:rPr>
        <w:t>16 G</w:t>
      </w:r>
      <w:r w:rsidR="005448F1" w:rsidRPr="005138F3">
        <w:rPr>
          <w:b/>
          <w:bCs/>
          <w:color w:val="1C2024"/>
          <w:sz w:val="28"/>
          <w:szCs w:val="28"/>
        </w:rPr>
        <w:t>IUGNO</w:t>
      </w:r>
      <w:r w:rsidR="00583160" w:rsidRPr="005138F3">
        <w:rPr>
          <w:b/>
          <w:bCs/>
          <w:color w:val="1C2024"/>
          <w:sz w:val="28"/>
          <w:szCs w:val="28"/>
        </w:rPr>
        <w:t xml:space="preserve"> 2021</w:t>
      </w:r>
      <w:bookmarkStart w:id="0" w:name="_GoBack"/>
      <w:bookmarkEnd w:id="0"/>
    </w:p>
    <w:p w:rsidR="00583160" w:rsidRPr="00B327D1" w:rsidRDefault="00583160" w:rsidP="002D5853">
      <w:pPr>
        <w:jc w:val="center"/>
        <w:rPr>
          <w:color w:val="1C2024"/>
          <w:sz w:val="28"/>
          <w:szCs w:val="28"/>
        </w:rPr>
      </w:pPr>
    </w:p>
    <w:p w:rsidR="00CE68E1" w:rsidRPr="00B327D1" w:rsidRDefault="00B327D1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  <w:r w:rsidRPr="00B327D1">
        <w:rPr>
          <w:b/>
          <w:bCs/>
          <w:sz w:val="22"/>
          <w:szCs w:val="22"/>
          <w:u w:val="single"/>
          <w:lang w:eastAsia="en-US" w:bidi="en-US"/>
        </w:rPr>
        <w:t>Le aliquote per l’applicazione dell’Imposta Municipale Unica sono rimaste invariate</w:t>
      </w:r>
      <w:r w:rsidRPr="00B327D1">
        <w:rPr>
          <w:sz w:val="22"/>
          <w:szCs w:val="22"/>
          <w:lang w:eastAsia="en-US" w:bidi="en-US"/>
        </w:rPr>
        <w:t xml:space="preserve"> rispetto all’anno 2020, c</w:t>
      </w:r>
      <w:r w:rsidR="00CE68E1" w:rsidRPr="00B327D1">
        <w:rPr>
          <w:sz w:val="22"/>
          <w:szCs w:val="22"/>
          <w:lang w:eastAsia="en-US" w:bidi="en-US"/>
        </w:rPr>
        <w:t xml:space="preserve">on deliberazione di Consiglio Comunale n. </w:t>
      </w:r>
      <w:r w:rsidR="00DC1265">
        <w:rPr>
          <w:sz w:val="22"/>
          <w:szCs w:val="22"/>
          <w:lang w:eastAsia="en-US" w:bidi="en-US"/>
        </w:rPr>
        <w:t>11</w:t>
      </w:r>
      <w:r w:rsidR="00CE68E1" w:rsidRPr="00B327D1">
        <w:rPr>
          <w:sz w:val="22"/>
          <w:szCs w:val="22"/>
          <w:lang w:eastAsia="en-US" w:bidi="en-US"/>
        </w:rPr>
        <w:t xml:space="preserve"> del </w:t>
      </w:r>
      <w:r w:rsidR="009975A6">
        <w:rPr>
          <w:sz w:val="22"/>
          <w:szCs w:val="22"/>
          <w:lang w:eastAsia="en-US" w:bidi="en-US"/>
        </w:rPr>
        <w:t>31 maggio 2021,</w:t>
      </w:r>
      <w:r w:rsidRPr="00B327D1">
        <w:rPr>
          <w:sz w:val="22"/>
          <w:szCs w:val="22"/>
          <w:lang w:eastAsia="en-US" w:bidi="en-US"/>
        </w:rPr>
        <w:t xml:space="preserve"> infatti, </w:t>
      </w:r>
      <w:r w:rsidR="00CE68E1" w:rsidRPr="00B327D1">
        <w:rPr>
          <w:sz w:val="22"/>
          <w:szCs w:val="22"/>
          <w:lang w:eastAsia="en-US" w:bidi="en-US"/>
        </w:rPr>
        <w:t xml:space="preserve">sono state </w:t>
      </w:r>
      <w:r w:rsidR="006317D5" w:rsidRPr="00B327D1">
        <w:rPr>
          <w:sz w:val="22"/>
          <w:szCs w:val="22"/>
          <w:lang w:eastAsia="en-US" w:bidi="en-US"/>
        </w:rPr>
        <w:t>confermate</w:t>
      </w:r>
      <w:r w:rsidR="00CE68E1" w:rsidRPr="00B327D1">
        <w:rPr>
          <w:sz w:val="22"/>
          <w:szCs w:val="22"/>
          <w:lang w:eastAsia="en-US" w:bidi="en-US"/>
        </w:rPr>
        <w:t xml:space="preserve"> per l’anno 2021 </w:t>
      </w:r>
      <w:r w:rsidR="006317D5" w:rsidRPr="00B327D1">
        <w:rPr>
          <w:sz w:val="22"/>
          <w:szCs w:val="22"/>
          <w:lang w:eastAsia="en-US" w:bidi="en-US"/>
        </w:rPr>
        <w:t>le aliquote approvate per l’anno 2020</w:t>
      </w:r>
      <w:r w:rsidRPr="00B327D1">
        <w:rPr>
          <w:sz w:val="22"/>
          <w:szCs w:val="22"/>
          <w:lang w:eastAsia="en-US" w:bidi="en-US"/>
        </w:rPr>
        <w:t>, nella misura</w:t>
      </w:r>
      <w:r w:rsidR="0010258A" w:rsidRPr="00B327D1">
        <w:rPr>
          <w:sz w:val="22"/>
          <w:szCs w:val="22"/>
          <w:lang w:eastAsia="en-US" w:bidi="en-US"/>
        </w:rPr>
        <w:t xml:space="preserve"> </w:t>
      </w:r>
      <w:r w:rsidR="00CE68E1" w:rsidRPr="00B327D1">
        <w:rPr>
          <w:sz w:val="22"/>
          <w:szCs w:val="22"/>
          <w:lang w:eastAsia="en-US" w:bidi="en-US"/>
        </w:rPr>
        <w:t>di seguito riportat</w:t>
      </w:r>
      <w:r w:rsidRPr="00B327D1">
        <w:rPr>
          <w:sz w:val="22"/>
          <w:szCs w:val="22"/>
          <w:lang w:eastAsia="en-US" w:bidi="en-US"/>
        </w:rPr>
        <w:t>a</w:t>
      </w:r>
      <w:r w:rsidR="00CE68E1" w:rsidRPr="00B327D1">
        <w:rPr>
          <w:sz w:val="22"/>
          <w:szCs w:val="22"/>
          <w:lang w:eastAsia="en-US" w:bidi="en-US"/>
        </w:rPr>
        <w:t>:</w:t>
      </w:r>
    </w:p>
    <w:p w:rsidR="00CE68E1" w:rsidRPr="00B327D1" w:rsidRDefault="00CE68E1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TIPOLOGIA IMMOBILE</w:t>
            </w: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ALIQUOTA</w:t>
            </w:r>
          </w:p>
        </w:tc>
      </w:tr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Altri fabbricati e aree fabbricabili</w:t>
            </w:r>
          </w:p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1,06%</w:t>
            </w:r>
          </w:p>
        </w:tc>
      </w:tr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abitazione principale classificata nelle categorie</w:t>
            </w:r>
          </w:p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catastali A/1, A/8 e A/9 e relative pertinenze</w:t>
            </w:r>
          </w:p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0,50%</w:t>
            </w:r>
          </w:p>
        </w:tc>
      </w:tr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 xml:space="preserve">fabbricati rurali ad uso strumentale </w:t>
            </w:r>
          </w:p>
          <w:p w:rsidR="00CE68E1" w:rsidRPr="00B327D1" w:rsidRDefault="00CE68E1" w:rsidP="00CE68E1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0,10%</w:t>
            </w:r>
          </w:p>
        </w:tc>
      </w:tr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fabbricati costruiti e destinati dall'impresa</w:t>
            </w:r>
          </w:p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costruttrice alla vendita</w:t>
            </w: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0,10%</w:t>
            </w:r>
          </w:p>
        </w:tc>
      </w:tr>
      <w:tr w:rsidR="00CE68E1" w:rsidRPr="00B327D1" w:rsidTr="003B3EDA"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Immobili ad uso produttivo classificati nel gruppo catastale C1, C3, A10, D1 e D10</w:t>
            </w:r>
          </w:p>
        </w:tc>
        <w:tc>
          <w:tcPr>
            <w:tcW w:w="4814" w:type="dxa"/>
          </w:tcPr>
          <w:p w:rsidR="00CE68E1" w:rsidRPr="00B327D1" w:rsidRDefault="00CE68E1" w:rsidP="00CE68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327D1">
              <w:rPr>
                <w:rFonts w:eastAsiaTheme="minorEastAsia"/>
                <w:sz w:val="22"/>
                <w:szCs w:val="22"/>
                <w:lang w:eastAsia="en-US"/>
              </w:rPr>
              <w:t>0,86 %</w:t>
            </w:r>
          </w:p>
        </w:tc>
      </w:tr>
    </w:tbl>
    <w:p w:rsidR="00CE68E1" w:rsidRPr="00B327D1" w:rsidRDefault="00CE68E1" w:rsidP="00CE68E1">
      <w:pPr>
        <w:autoSpaceDE w:val="0"/>
        <w:autoSpaceDN w:val="0"/>
        <w:adjustRightInd w:val="0"/>
        <w:rPr>
          <w:rFonts w:eastAsiaTheme="minorEastAsia"/>
          <w:sz w:val="22"/>
          <w:szCs w:val="22"/>
          <w:lang w:eastAsia="en-US"/>
        </w:rPr>
      </w:pPr>
    </w:p>
    <w:p w:rsidR="004636E7" w:rsidRDefault="00B04E06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I</w:t>
      </w:r>
      <w:r w:rsidR="00021291" w:rsidRPr="00B327D1">
        <w:rPr>
          <w:sz w:val="22"/>
          <w:szCs w:val="22"/>
          <w:lang w:eastAsia="en-US" w:bidi="en-US"/>
        </w:rPr>
        <w:t xml:space="preserve"> terreni agricoli sono esenti dal versamento dell’IMU.</w:t>
      </w:r>
    </w:p>
    <w:p w:rsidR="00B327D1" w:rsidRDefault="00B327D1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</w:p>
    <w:p w:rsidR="00B327D1" w:rsidRPr="00B04E06" w:rsidRDefault="00B327D1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  <w:r w:rsidRPr="00B04E06">
        <w:t>L’imposta non è dovuta se il totale annuo sia uguale o inferiore a 12 euro.</w:t>
      </w:r>
    </w:p>
    <w:p w:rsidR="00021291" w:rsidRPr="00B327D1" w:rsidRDefault="00021291" w:rsidP="0084431E">
      <w:pPr>
        <w:widowControl w:val="0"/>
        <w:tabs>
          <w:tab w:val="left" w:pos="315"/>
        </w:tabs>
        <w:autoSpaceDE w:val="0"/>
        <w:autoSpaceDN w:val="0"/>
        <w:ind w:left="20" w:right="19"/>
        <w:jc w:val="both"/>
        <w:rPr>
          <w:sz w:val="22"/>
          <w:szCs w:val="22"/>
          <w:lang w:eastAsia="en-US" w:bidi="en-US"/>
        </w:rPr>
      </w:pPr>
    </w:p>
    <w:p w:rsidR="00BF3B0A" w:rsidRPr="00B327D1" w:rsidRDefault="00583160" w:rsidP="00BF3B0A">
      <w:pPr>
        <w:jc w:val="both"/>
        <w:rPr>
          <w:b/>
          <w:bCs/>
          <w:color w:val="1C2024"/>
          <w:sz w:val="27"/>
          <w:szCs w:val="27"/>
        </w:rPr>
      </w:pPr>
      <w:r w:rsidRPr="00B327D1">
        <w:rPr>
          <w:b/>
          <w:bCs/>
          <w:color w:val="1C2024"/>
          <w:sz w:val="27"/>
          <w:szCs w:val="27"/>
        </w:rPr>
        <w:t>IMU PER PENSIONATI ALL’ESTERO</w:t>
      </w:r>
    </w:p>
    <w:p w:rsidR="00BF3B0A" w:rsidRPr="00B327D1" w:rsidRDefault="00BF3B0A" w:rsidP="00BF3B0A">
      <w:pPr>
        <w:jc w:val="both"/>
        <w:rPr>
          <w:color w:val="1C2024"/>
          <w:sz w:val="22"/>
          <w:szCs w:val="22"/>
        </w:rPr>
      </w:pPr>
    </w:p>
    <w:p w:rsidR="006317D5" w:rsidRPr="00B327D1" w:rsidRDefault="006317D5" w:rsidP="006317D5">
      <w:pPr>
        <w:jc w:val="both"/>
        <w:rPr>
          <w:color w:val="000000"/>
          <w:lang w:eastAsia="en-US"/>
        </w:rPr>
      </w:pPr>
      <w:r w:rsidRPr="00B327D1">
        <w:rPr>
          <w:color w:val="1C2024"/>
          <w:sz w:val="22"/>
          <w:szCs w:val="22"/>
        </w:rPr>
        <w:t>Come nello scorso anno, l’amministrazione</w:t>
      </w:r>
      <w:r w:rsidR="004636E7" w:rsidRPr="00B327D1">
        <w:t xml:space="preserve"> comunale </w:t>
      </w:r>
      <w:r w:rsidR="00CE68E1" w:rsidRPr="00B327D1">
        <w:t>ha confermato l’</w:t>
      </w:r>
      <w:r w:rsidR="004D32DB" w:rsidRPr="00B327D1">
        <w:rPr>
          <w:b/>
          <w:bCs/>
        </w:rPr>
        <w:t>esenzione</w:t>
      </w:r>
      <w:r w:rsidR="004D32DB" w:rsidRPr="00B327D1">
        <w:t xml:space="preserve"> dal pagamento dell’IMU per </w:t>
      </w:r>
      <w:r w:rsidRPr="00B327D1">
        <w:t xml:space="preserve">un unico </w:t>
      </w:r>
      <w:r w:rsidR="00CE68E1" w:rsidRPr="00B327D1">
        <w:t>immobile</w:t>
      </w:r>
      <w:r w:rsidRPr="00B327D1">
        <w:t xml:space="preserve"> ad uso abitativo, non locat</w:t>
      </w:r>
      <w:r w:rsidR="00AC5565" w:rsidRPr="00B327D1">
        <w:t>o</w:t>
      </w:r>
      <w:r w:rsidRPr="00B327D1">
        <w:t xml:space="preserve"> </w:t>
      </w:r>
      <w:r w:rsidR="00AC5565" w:rsidRPr="00B327D1">
        <w:t>o dato in comodato d’uso,</w:t>
      </w:r>
      <w:r w:rsidR="004636E7" w:rsidRPr="00B327D1">
        <w:t xml:space="preserve"> </w:t>
      </w:r>
      <w:r w:rsidR="00CE68E1" w:rsidRPr="00B327D1">
        <w:rPr>
          <w:color w:val="000000"/>
          <w:lang w:eastAsia="en-US"/>
        </w:rPr>
        <w:t>possedut</w:t>
      </w:r>
      <w:r w:rsidR="009D6A0A" w:rsidRPr="00B327D1">
        <w:rPr>
          <w:color w:val="000000"/>
          <w:lang w:eastAsia="en-US"/>
        </w:rPr>
        <w:t>o</w:t>
      </w:r>
      <w:r w:rsidR="00CE68E1" w:rsidRPr="00B327D1">
        <w:rPr>
          <w:color w:val="000000"/>
          <w:lang w:eastAsia="en-US"/>
        </w:rPr>
        <w:t xml:space="preserve"> dai </w:t>
      </w:r>
      <w:r w:rsidR="00CE68E1" w:rsidRPr="00B327D1">
        <w:rPr>
          <w:b/>
          <w:bCs/>
          <w:color w:val="000000"/>
          <w:lang w:eastAsia="en-US"/>
        </w:rPr>
        <w:t>cittadini italiani non residenti nel territorio dello Stato e iscritti all’Anagrafe degli italiani residenti all’estero (AIRE)</w:t>
      </w:r>
      <w:r w:rsidR="00CE68E1" w:rsidRPr="00B327D1">
        <w:rPr>
          <w:color w:val="000000"/>
          <w:lang w:eastAsia="en-US"/>
        </w:rPr>
        <w:t>, già pensionati nei rispettivi Paesi di residenza</w:t>
      </w:r>
      <w:r w:rsidRPr="00B327D1">
        <w:rPr>
          <w:color w:val="000000"/>
          <w:lang w:eastAsia="en-US"/>
        </w:rPr>
        <w:t>;</w:t>
      </w:r>
      <w:r w:rsidR="004D32DB" w:rsidRPr="00B327D1">
        <w:rPr>
          <w:color w:val="000000"/>
          <w:lang w:eastAsia="en-US"/>
        </w:rPr>
        <w:t xml:space="preserve"> </w:t>
      </w:r>
    </w:p>
    <w:p w:rsidR="004D32DB" w:rsidRDefault="006317D5" w:rsidP="006317D5">
      <w:pPr>
        <w:jc w:val="both"/>
        <w:rPr>
          <w:lang w:eastAsia="en-US"/>
        </w:rPr>
      </w:pPr>
      <w:r w:rsidRPr="00B327D1">
        <w:rPr>
          <w:color w:val="000000"/>
          <w:lang w:eastAsia="en-US"/>
        </w:rPr>
        <w:t>Si precisa</w:t>
      </w:r>
      <w:r w:rsidR="00AC5565" w:rsidRPr="00B327D1">
        <w:rPr>
          <w:color w:val="000000"/>
          <w:lang w:eastAsia="en-US"/>
        </w:rPr>
        <w:t>, altresì</w:t>
      </w:r>
      <w:r w:rsidR="00B327D1" w:rsidRPr="00B327D1">
        <w:rPr>
          <w:color w:val="000000"/>
          <w:lang w:eastAsia="en-US"/>
        </w:rPr>
        <w:t>,</w:t>
      </w:r>
      <w:r w:rsidR="00AC5565" w:rsidRPr="00B327D1">
        <w:rPr>
          <w:color w:val="000000"/>
          <w:lang w:eastAsia="en-US"/>
        </w:rPr>
        <w:t xml:space="preserve"> </w:t>
      </w:r>
      <w:r w:rsidRPr="00B327D1">
        <w:rPr>
          <w:color w:val="000000"/>
          <w:lang w:eastAsia="en-US"/>
        </w:rPr>
        <w:t xml:space="preserve">che </w:t>
      </w:r>
      <w:r w:rsidR="004D32DB" w:rsidRPr="00B327D1">
        <w:rPr>
          <w:lang w:eastAsia="en-US"/>
        </w:rPr>
        <w:t xml:space="preserve">in conformità alla disciplina introdotta dall’art. 1, comma 48, della </w:t>
      </w:r>
      <w:r w:rsidR="00BF3B0A" w:rsidRPr="00B327D1">
        <w:rPr>
          <w:lang w:eastAsia="en-US"/>
        </w:rPr>
        <w:t>L</w:t>
      </w:r>
      <w:r w:rsidR="004D32DB" w:rsidRPr="00B327D1">
        <w:rPr>
          <w:lang w:eastAsia="en-US"/>
        </w:rPr>
        <w:t xml:space="preserve">egge di bilancio 2021, </w:t>
      </w:r>
      <w:r w:rsidR="004D32DB" w:rsidRPr="00B327D1">
        <w:rPr>
          <w:color w:val="000000"/>
          <w:lang w:eastAsia="en-US"/>
        </w:rPr>
        <w:t xml:space="preserve">per i </w:t>
      </w:r>
      <w:r w:rsidR="004D32DB" w:rsidRPr="00B327D1">
        <w:rPr>
          <w:lang w:eastAsia="en-US"/>
        </w:rPr>
        <w:t xml:space="preserve">soggetti non residenti nel territorio dello Stato, diversi da quelli iscritti all’AIRE, </w:t>
      </w:r>
      <w:r w:rsidRPr="00B327D1">
        <w:rPr>
          <w:lang w:eastAsia="en-US"/>
        </w:rPr>
        <w:t>in occorrenza dei requisiti sopra descritti</w:t>
      </w:r>
      <w:r w:rsidR="00AC5565" w:rsidRPr="00B327D1">
        <w:rPr>
          <w:lang w:eastAsia="en-US"/>
        </w:rPr>
        <w:t>,</w:t>
      </w:r>
      <w:r w:rsidR="004D32DB" w:rsidRPr="00B327D1">
        <w:rPr>
          <w:lang w:eastAsia="en-US"/>
        </w:rPr>
        <w:t xml:space="preserve"> si applic</w:t>
      </w:r>
      <w:r w:rsidR="00B327D1" w:rsidRPr="00B327D1">
        <w:rPr>
          <w:lang w:eastAsia="en-US"/>
        </w:rPr>
        <w:t>herà</w:t>
      </w:r>
      <w:r w:rsidR="004D32DB" w:rsidRPr="00B327D1">
        <w:rPr>
          <w:lang w:eastAsia="en-US"/>
        </w:rPr>
        <w:t xml:space="preserve"> la riduzione</w:t>
      </w:r>
      <w:r w:rsidRPr="00B327D1">
        <w:rPr>
          <w:lang w:eastAsia="en-US"/>
        </w:rPr>
        <w:t xml:space="preserve"> </w:t>
      </w:r>
      <w:r w:rsidR="004D32DB" w:rsidRPr="00B327D1">
        <w:rPr>
          <w:lang w:eastAsia="en-US"/>
        </w:rPr>
        <w:t>dell’imposta municipale unica (IMU)</w:t>
      </w:r>
      <w:r w:rsidR="00AC5565" w:rsidRPr="00B327D1">
        <w:rPr>
          <w:lang w:eastAsia="en-US"/>
        </w:rPr>
        <w:t xml:space="preserve"> pari al 50%</w:t>
      </w:r>
      <w:r w:rsidR="00B04E06">
        <w:rPr>
          <w:lang w:eastAsia="en-US"/>
        </w:rPr>
        <w:t>.</w:t>
      </w:r>
    </w:p>
    <w:p w:rsidR="00B04E06" w:rsidRPr="00B327D1" w:rsidRDefault="00B04E06" w:rsidP="006317D5">
      <w:pPr>
        <w:jc w:val="both"/>
        <w:rPr>
          <w:color w:val="000000"/>
          <w:lang w:eastAsia="en-US"/>
        </w:rPr>
      </w:pPr>
    </w:p>
    <w:p w:rsidR="004A45D9" w:rsidRPr="00583160" w:rsidRDefault="00583160" w:rsidP="00C87381">
      <w:pPr>
        <w:spacing w:line="369" w:lineRule="atLeast"/>
        <w:textAlignment w:val="baseline"/>
        <w:rPr>
          <w:b/>
          <w:bCs/>
          <w:color w:val="000000"/>
        </w:rPr>
      </w:pPr>
      <w:r w:rsidRPr="00583160">
        <w:rPr>
          <w:b/>
          <w:bCs/>
          <w:color w:val="000000"/>
        </w:rPr>
        <w:t>AGEVOLAZIONI PER EMERGENZA COVID-19</w:t>
      </w:r>
    </w:p>
    <w:p w:rsidR="00021291" w:rsidRPr="00021291" w:rsidRDefault="009D64D6" w:rsidP="009D64D6">
      <w:pPr>
        <w:spacing w:line="369" w:lineRule="atLeast"/>
        <w:ind w:firstLine="708"/>
        <w:jc w:val="both"/>
        <w:textAlignment w:val="baseline"/>
        <w:rPr>
          <w:color w:val="000000"/>
        </w:rPr>
      </w:pPr>
      <w:r w:rsidRPr="00DC1265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="00021291" w:rsidRPr="00021291">
        <w:rPr>
          <w:color w:val="000000"/>
        </w:rPr>
        <w:t xml:space="preserve">La legge di </w:t>
      </w:r>
      <w:r w:rsidR="00021291" w:rsidRPr="00021291">
        <w:rPr>
          <w:b/>
          <w:bCs/>
          <w:color w:val="000000"/>
        </w:rPr>
        <w:t>Bilancio 2021</w:t>
      </w:r>
      <w:r w:rsidR="00021291" w:rsidRPr="00021291">
        <w:rPr>
          <w:color w:val="000000"/>
        </w:rPr>
        <w:t xml:space="preserve"> ha stabilito l’esonero dal pagamento della prima rata con riferimento alle seguenti fattispecie:</w:t>
      </w: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B04E06" w:rsidRDefault="00B04E06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021291" w:rsidRPr="00021291" w:rsidRDefault="00021291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  <w:r w:rsidRPr="00021291">
        <w:rPr>
          <w:color w:val="000000"/>
        </w:rPr>
        <w:t xml:space="preserve">a) immobili adibiti a stabilimenti balneari marittimi, lacuali e fluviali, </w:t>
      </w:r>
      <w:proofErr w:type="spellStart"/>
      <w:r w:rsidRPr="00021291">
        <w:rPr>
          <w:color w:val="000000"/>
        </w:rPr>
        <w:t>nonche</w:t>
      </w:r>
      <w:proofErr w:type="spellEnd"/>
      <w:r w:rsidRPr="00021291">
        <w:rPr>
          <w:color w:val="000000"/>
        </w:rPr>
        <w:t>́ immobili degli stabilimenti termali;</w:t>
      </w:r>
    </w:p>
    <w:p w:rsidR="00583160" w:rsidRPr="00583160" w:rsidRDefault="00021291" w:rsidP="00583160">
      <w:pPr>
        <w:spacing w:line="369" w:lineRule="atLeast"/>
        <w:ind w:left="708"/>
        <w:jc w:val="both"/>
        <w:textAlignment w:val="baseline"/>
        <w:rPr>
          <w:b/>
          <w:bCs/>
          <w:color w:val="000000"/>
        </w:rPr>
      </w:pPr>
      <w:r w:rsidRPr="00021291">
        <w:rPr>
          <w:color w:val="000000"/>
        </w:rPr>
        <w:t xml:space="preserve">b)  immobili rientranti nella categoria catastale D/2 (alberghi e pensioni) e relative pertinenze, immobili degli agriturismi, dei villaggi turistici, degli ostelli della </w:t>
      </w:r>
      <w:r w:rsidR="00EF5CDE" w:rsidRPr="00021291">
        <w:rPr>
          <w:color w:val="000000"/>
        </w:rPr>
        <w:t>gioventù</w:t>
      </w:r>
      <w:r w:rsidRPr="00021291">
        <w:rPr>
          <w:color w:val="000000"/>
        </w:rPr>
        <w:t>̀, dei rifugi di montagna, delle colonie marine e montane, degli affittacamere per brevi soggiorni, delle case e appartamenti per vacanze, dei bed and breakfast, dei residence e dei campeggi</w:t>
      </w:r>
      <w:r w:rsidR="00583160">
        <w:rPr>
          <w:color w:val="000000"/>
        </w:rPr>
        <w:t xml:space="preserve"> </w:t>
      </w:r>
      <w:r w:rsidR="00583160" w:rsidRPr="00583160">
        <w:rPr>
          <w:b/>
          <w:bCs/>
          <w:color w:val="000000"/>
        </w:rPr>
        <w:t>a condizione che i relativi soggetti passivi, siano anche gestori delle attività ivi esercitate;</w:t>
      </w:r>
    </w:p>
    <w:p w:rsidR="00583160" w:rsidRDefault="00021291" w:rsidP="00583160">
      <w:pPr>
        <w:spacing w:line="369" w:lineRule="atLeast"/>
        <w:ind w:left="708"/>
        <w:jc w:val="both"/>
        <w:textAlignment w:val="baseline"/>
        <w:rPr>
          <w:color w:val="000000"/>
        </w:rPr>
      </w:pPr>
      <w:r w:rsidRPr="00021291">
        <w:rPr>
          <w:color w:val="000000"/>
        </w:rPr>
        <w:t xml:space="preserve">c)  immobili rientranti nella categoria catastale D in uso da parte di imprese esercenti </w:t>
      </w:r>
      <w:proofErr w:type="spellStart"/>
      <w:r w:rsidRPr="00021291">
        <w:rPr>
          <w:color w:val="000000"/>
        </w:rPr>
        <w:t>attivita</w:t>
      </w:r>
      <w:proofErr w:type="spellEnd"/>
      <w:r w:rsidRPr="00021291">
        <w:rPr>
          <w:color w:val="000000"/>
        </w:rPr>
        <w:t>̀ di allestimenti di strutture espositive nell’ambito di eventi fieristici o manifestazioni;</w:t>
      </w:r>
    </w:p>
    <w:p w:rsidR="00583160" w:rsidRPr="00583160" w:rsidRDefault="00021291" w:rsidP="00583160">
      <w:pPr>
        <w:spacing w:line="369" w:lineRule="atLeast"/>
        <w:ind w:left="708"/>
        <w:jc w:val="both"/>
        <w:textAlignment w:val="baseline"/>
        <w:rPr>
          <w:color w:val="000000"/>
        </w:rPr>
      </w:pPr>
      <w:r w:rsidRPr="00021291">
        <w:rPr>
          <w:color w:val="000000"/>
        </w:rPr>
        <w:t>d)  immobili destinati a discoteche, sale da ballo, night club e simili</w:t>
      </w:r>
      <w:r w:rsidR="00583160" w:rsidRPr="00583160">
        <w:rPr>
          <w:b/>
          <w:bCs/>
          <w:color w:val="000000"/>
        </w:rPr>
        <w:t xml:space="preserve"> a condizione che i relativi soggetti passivi, siano anche gestori delle attività ivi esercitate.</w:t>
      </w:r>
    </w:p>
    <w:p w:rsidR="00021291" w:rsidRPr="00021291" w:rsidRDefault="00021291" w:rsidP="00EF5CDE">
      <w:pPr>
        <w:spacing w:line="369" w:lineRule="atLeast"/>
        <w:ind w:left="708"/>
        <w:jc w:val="both"/>
        <w:textAlignment w:val="baseline"/>
        <w:rPr>
          <w:color w:val="000000"/>
        </w:rPr>
      </w:pPr>
    </w:p>
    <w:p w:rsidR="00021291" w:rsidRDefault="009D64D6" w:rsidP="00583160">
      <w:pPr>
        <w:spacing w:line="369" w:lineRule="atLeast"/>
        <w:ind w:firstLine="708"/>
        <w:jc w:val="both"/>
        <w:textAlignment w:val="baseline"/>
        <w:rPr>
          <w:color w:val="000000"/>
        </w:rPr>
      </w:pPr>
      <w:r w:rsidRPr="00DC1265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="00021291" w:rsidRPr="00021291">
        <w:rPr>
          <w:color w:val="000000"/>
        </w:rPr>
        <w:t xml:space="preserve">Ai sensi dell'art. 78 del D.L. 104/2020 l'IMU non è dovuta per gli anni 2021 e 2022 per gli immobili rientranti nella </w:t>
      </w:r>
      <w:r w:rsidR="00021291" w:rsidRPr="00B04E06">
        <w:rPr>
          <w:b/>
          <w:bCs/>
          <w:color w:val="000000"/>
        </w:rPr>
        <w:t>categoria catastale D/3</w:t>
      </w:r>
      <w:r w:rsidR="00021291" w:rsidRPr="00021291">
        <w:rPr>
          <w:color w:val="000000"/>
        </w:rPr>
        <w:t xml:space="preserve"> destinati a </w:t>
      </w:r>
      <w:r w:rsidR="00021291" w:rsidRPr="00B04E06">
        <w:rPr>
          <w:b/>
          <w:bCs/>
          <w:color w:val="000000"/>
        </w:rPr>
        <w:t>spettacoli cinematografici, teatri e sale per concerti e spettacoli</w:t>
      </w:r>
      <w:r w:rsidR="00021291" w:rsidRPr="00B04E06">
        <w:rPr>
          <w:color w:val="000000"/>
        </w:rPr>
        <w:t xml:space="preserve">, a condizione che i relativi proprietari siano anche gestori delle </w:t>
      </w:r>
      <w:proofErr w:type="spellStart"/>
      <w:r w:rsidR="00021291" w:rsidRPr="00B04E06">
        <w:rPr>
          <w:color w:val="000000"/>
        </w:rPr>
        <w:t>attivita</w:t>
      </w:r>
      <w:proofErr w:type="spellEnd"/>
      <w:r w:rsidR="00021291" w:rsidRPr="00B04E06">
        <w:rPr>
          <w:color w:val="000000"/>
        </w:rPr>
        <w:t>̀ ivi esercitate.</w:t>
      </w:r>
    </w:p>
    <w:p w:rsidR="00C406F1" w:rsidRDefault="00C406F1" w:rsidP="00B04E06">
      <w:pPr>
        <w:spacing w:line="369" w:lineRule="atLeast"/>
        <w:jc w:val="both"/>
        <w:textAlignment w:val="baseline"/>
        <w:rPr>
          <w:b/>
          <w:bCs/>
          <w:color w:val="000000"/>
        </w:rPr>
      </w:pPr>
    </w:p>
    <w:p w:rsidR="00B04E06" w:rsidRPr="00B04E06" w:rsidRDefault="00B04E06" w:rsidP="00B04E06">
      <w:pPr>
        <w:spacing w:line="369" w:lineRule="atLeast"/>
        <w:jc w:val="both"/>
        <w:textAlignment w:val="baseline"/>
        <w:rPr>
          <w:b/>
          <w:bCs/>
          <w:color w:val="000000"/>
        </w:rPr>
      </w:pPr>
      <w:r w:rsidRPr="00B04E06">
        <w:rPr>
          <w:b/>
          <w:bCs/>
          <w:color w:val="000000"/>
        </w:rPr>
        <w:t>COMUNICAZIONE DEL DIRITTO ALL’ESENZIONE</w:t>
      </w:r>
    </w:p>
    <w:p w:rsidR="004D32DB" w:rsidRDefault="00B04E06" w:rsidP="0084431E">
      <w:pPr>
        <w:jc w:val="both"/>
        <w:rPr>
          <w:color w:val="000000"/>
          <w:lang w:eastAsia="en-US"/>
        </w:rPr>
      </w:pPr>
      <w:r w:rsidRPr="009D64D6">
        <w:rPr>
          <w:color w:val="000000"/>
          <w:lang w:eastAsia="en-US"/>
        </w:rPr>
        <w:t>Tramite la presentazione del modello di “Dichiarazione esenzione versamento prima rata IMU 2021</w:t>
      </w:r>
      <w:proofErr w:type="gramStart"/>
      <w:r w:rsidRPr="009D64D6">
        <w:rPr>
          <w:color w:val="000000"/>
          <w:lang w:eastAsia="en-US"/>
        </w:rPr>
        <w:t>”</w:t>
      </w:r>
      <w:r w:rsidR="009D64D6">
        <w:rPr>
          <w:color w:val="000000"/>
          <w:lang w:eastAsia="en-US"/>
        </w:rPr>
        <w:t>,</w:t>
      </w:r>
      <w:r w:rsidRPr="009D64D6">
        <w:rPr>
          <w:color w:val="000000"/>
          <w:lang w:eastAsia="en-US"/>
        </w:rPr>
        <w:t>di</w:t>
      </w:r>
      <w:proofErr w:type="gramEnd"/>
      <w:r w:rsidRPr="009D64D6">
        <w:rPr>
          <w:color w:val="000000"/>
          <w:lang w:eastAsia="en-US"/>
        </w:rPr>
        <w:t xml:space="preserve"> seguito allegato</w:t>
      </w:r>
      <w:r w:rsidR="009D64D6">
        <w:rPr>
          <w:color w:val="000000"/>
          <w:lang w:eastAsia="en-US"/>
        </w:rPr>
        <w:t>,</w:t>
      </w:r>
      <w:r w:rsidRPr="009D64D6">
        <w:rPr>
          <w:color w:val="000000"/>
          <w:lang w:eastAsia="en-US"/>
        </w:rPr>
        <w:t xml:space="preserve"> da parte del soggetto passivo IMU beneficiario dell’esenzione.</w:t>
      </w:r>
    </w:p>
    <w:p w:rsidR="009D64D6" w:rsidRDefault="009D64D6" w:rsidP="0084431E">
      <w:pPr>
        <w:jc w:val="both"/>
        <w:rPr>
          <w:color w:val="000000"/>
          <w:lang w:eastAsia="en-US"/>
        </w:rPr>
      </w:pPr>
    </w:p>
    <w:p w:rsidR="002E350C" w:rsidRPr="00EE7359" w:rsidRDefault="002E350C" w:rsidP="00B04E06">
      <w:pPr>
        <w:ind w:firstLine="708"/>
        <w:jc w:val="both"/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</w:pP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 xml:space="preserve">L’ufficio tributi </w:t>
      </w:r>
      <w:r w:rsidR="00B04E06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rimane</w:t>
      </w: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 xml:space="preserve"> a disposizione per qualsiasi ulteriore chiarimento e</w:t>
      </w:r>
      <w:r w:rsidR="00583160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/o informazione ai seguenti recapiti</w:t>
      </w: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:</w:t>
      </w:r>
      <w:r w:rsidR="00B04E06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 xml:space="preserve"> </w:t>
      </w:r>
      <w:r w:rsidRPr="00EE7359">
        <w:rPr>
          <w:rFonts w:eastAsiaTheme="minorHAnsi"/>
          <w:b/>
          <w:bCs/>
          <w:color w:val="1C2024"/>
          <w:sz w:val="22"/>
          <w:szCs w:val="22"/>
          <w:shd w:val="clear" w:color="auto" w:fill="FFFFFF"/>
          <w:lang w:eastAsia="en-US"/>
        </w:rPr>
        <w:t>numeri telefono</w:t>
      </w: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: 0833.695514- 0833</w:t>
      </w:r>
      <w:r w:rsidR="00583160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.</w:t>
      </w: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695518</w:t>
      </w:r>
      <w:r w:rsidR="00DA0AFE"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 xml:space="preserve">; </w:t>
      </w:r>
      <w:r w:rsidRPr="00EE7359">
        <w:rPr>
          <w:rFonts w:eastAsiaTheme="minorHAnsi"/>
          <w:b/>
          <w:bCs/>
          <w:color w:val="1C2024"/>
          <w:sz w:val="22"/>
          <w:szCs w:val="22"/>
          <w:shd w:val="clear" w:color="auto" w:fill="FFFFFF"/>
          <w:lang w:eastAsia="en-US"/>
        </w:rPr>
        <w:t>e-mail</w:t>
      </w: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: ufficiotributi@comune.ruffano.le.it</w:t>
      </w:r>
    </w:p>
    <w:p w:rsidR="0084431E" w:rsidRPr="00EE7359" w:rsidRDefault="0084431E" w:rsidP="0084431E">
      <w:pPr>
        <w:jc w:val="both"/>
        <w:rPr>
          <w:b/>
          <w:color w:val="00000A"/>
          <w:sz w:val="22"/>
          <w:szCs w:val="22"/>
        </w:rPr>
      </w:pPr>
    </w:p>
    <w:p w:rsidR="00DA0AFE" w:rsidRPr="00EE7359" w:rsidRDefault="00DA0AFE" w:rsidP="0084431E">
      <w:pPr>
        <w:jc w:val="both"/>
        <w:rPr>
          <w:b/>
          <w:color w:val="00000A"/>
          <w:sz w:val="22"/>
          <w:szCs w:val="22"/>
        </w:rPr>
      </w:pPr>
      <w:r w:rsidRPr="00EE7359">
        <w:rPr>
          <w:b/>
          <w:color w:val="00000A"/>
          <w:sz w:val="22"/>
          <w:szCs w:val="22"/>
        </w:rPr>
        <w:t>Documenti utili:</w:t>
      </w:r>
    </w:p>
    <w:p w:rsidR="00C814FD" w:rsidRPr="00EE7359" w:rsidRDefault="0084431E" w:rsidP="0084431E">
      <w:pPr>
        <w:autoSpaceDE w:val="0"/>
        <w:autoSpaceDN w:val="0"/>
        <w:adjustRightInd w:val="0"/>
        <w:rPr>
          <w:rFonts w:eastAsiaTheme="minorHAnsi"/>
          <w:bCs/>
          <w:color w:val="1C2024"/>
          <w:sz w:val="22"/>
          <w:szCs w:val="22"/>
          <w:shd w:val="clear" w:color="auto" w:fill="FFFFFF"/>
          <w:lang w:eastAsia="en-US"/>
        </w:rPr>
      </w:pPr>
      <w:r w:rsidRPr="00EE7359">
        <w:rPr>
          <w:bCs/>
          <w:color w:val="00000A"/>
          <w:sz w:val="22"/>
          <w:szCs w:val="22"/>
        </w:rPr>
        <w:t>1.Tabella valori IMU aree fabbricabili;</w:t>
      </w:r>
    </w:p>
    <w:p w:rsidR="0084431E" w:rsidRPr="00EE7359" w:rsidRDefault="0084431E" w:rsidP="0084431E">
      <w:pPr>
        <w:jc w:val="both"/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</w:pPr>
      <w:r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3</w:t>
      </w:r>
      <w:r w:rsidR="007B398E"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 xml:space="preserve">. </w:t>
      </w:r>
      <w:r w:rsidR="00B04E06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modello dichiarazione esenzione versamento prima rata IMU 2021</w:t>
      </w:r>
      <w:r w:rsidR="004636E7" w:rsidRPr="00EE7359">
        <w:rPr>
          <w:rFonts w:eastAsiaTheme="minorHAnsi"/>
          <w:color w:val="1C2024"/>
          <w:sz w:val="22"/>
          <w:szCs w:val="22"/>
          <w:shd w:val="clear" w:color="auto" w:fill="FFFFFF"/>
          <w:lang w:eastAsia="en-US"/>
        </w:rPr>
        <w:t>.</w:t>
      </w:r>
    </w:p>
    <w:p w:rsidR="00EE7359" w:rsidRDefault="00EE7359" w:rsidP="00EE7359">
      <w:pPr>
        <w:ind w:firstLine="708"/>
        <w:rPr>
          <w:rFonts w:ascii="Amiri" w:eastAsia="Calibri" w:hAnsi="Amiri" w:cs="Amiri"/>
          <w:iCs/>
          <w:sz w:val="22"/>
          <w:szCs w:val="22"/>
          <w:lang w:eastAsia="en-US"/>
        </w:rPr>
      </w:pPr>
    </w:p>
    <w:p w:rsidR="009D64D6" w:rsidRDefault="00EE7359" w:rsidP="009D64D6">
      <w:pPr>
        <w:rPr>
          <w:rFonts w:ascii="Amiri" w:eastAsia="Calibri" w:hAnsi="Amiri" w:cs="Amiri"/>
          <w:iCs/>
          <w:sz w:val="22"/>
          <w:szCs w:val="22"/>
          <w:lang w:eastAsia="en-US"/>
        </w:rPr>
      </w:pPr>
      <w:r w:rsidRPr="00EE7359">
        <w:rPr>
          <w:rFonts w:ascii="Amiri" w:eastAsia="Calibri" w:hAnsi="Amiri" w:cs="Amiri"/>
          <w:iCs/>
          <w:sz w:val="22"/>
          <w:szCs w:val="22"/>
          <w:lang w:eastAsia="en-US"/>
        </w:rPr>
        <w:t xml:space="preserve">Ruffano, lì 04 giugno 2020.        </w:t>
      </w:r>
      <w:r w:rsidR="009D64D6">
        <w:rPr>
          <w:rFonts w:ascii="Amiri" w:eastAsia="Calibri" w:hAnsi="Amiri" w:cs="Amiri"/>
          <w:iCs/>
          <w:sz w:val="22"/>
          <w:szCs w:val="22"/>
          <w:lang w:eastAsia="en-US"/>
        </w:rPr>
        <w:t xml:space="preserve">                                               </w:t>
      </w:r>
      <w:r w:rsidRPr="00EE7359">
        <w:rPr>
          <w:rFonts w:ascii="Amiri" w:eastAsia="Calibri" w:hAnsi="Amiri" w:cs="Amiri"/>
          <w:iCs/>
          <w:sz w:val="22"/>
          <w:szCs w:val="22"/>
          <w:lang w:eastAsia="en-US"/>
        </w:rPr>
        <w:t xml:space="preserve"> </w:t>
      </w:r>
      <w:r w:rsidR="00CC0954" w:rsidRPr="0084431E">
        <w:rPr>
          <w:rFonts w:ascii="Amiri" w:eastAsia="Calibri" w:hAnsi="Amiri" w:cs="Amiri"/>
          <w:iCs/>
          <w:sz w:val="22"/>
          <w:szCs w:val="22"/>
          <w:lang w:eastAsia="en-US"/>
        </w:rPr>
        <w:t>Funzionario Responsabile</w:t>
      </w:r>
    </w:p>
    <w:p w:rsidR="0084431E" w:rsidRDefault="009D64D6" w:rsidP="009D64D6">
      <w:pPr>
        <w:rPr>
          <w:rFonts w:ascii="Amiri" w:eastAsia="Calibri" w:hAnsi="Amiri" w:cs="Amiri"/>
          <w:iCs/>
          <w:sz w:val="22"/>
          <w:szCs w:val="22"/>
          <w:lang w:eastAsia="en-US"/>
        </w:rPr>
      </w:pPr>
      <w:r>
        <w:rPr>
          <w:rFonts w:ascii="Amiri" w:eastAsia="Calibri" w:hAnsi="Amiri" w:cs="Amiri"/>
          <w:iCs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5B095C">
        <w:rPr>
          <w:rFonts w:ascii="Amiri" w:eastAsia="Calibri" w:hAnsi="Amiri" w:cs="Amiri"/>
          <w:iCs/>
          <w:sz w:val="22"/>
          <w:szCs w:val="22"/>
          <w:lang w:eastAsia="en-US"/>
        </w:rPr>
        <w:t xml:space="preserve"> dell’Ufficio Tributi</w:t>
      </w:r>
      <w:r w:rsidR="00CC0954" w:rsidRPr="0084431E">
        <w:rPr>
          <w:rFonts w:ascii="Amiri" w:eastAsia="Calibri" w:hAnsi="Amiri" w:cs="Amiri"/>
          <w:iCs/>
          <w:sz w:val="22"/>
          <w:szCs w:val="22"/>
          <w:lang w:eastAsia="en-US"/>
        </w:rPr>
        <w:t xml:space="preserve">   </w:t>
      </w:r>
    </w:p>
    <w:p w:rsidR="00270D4E" w:rsidRPr="0084431E" w:rsidRDefault="00270D4E" w:rsidP="005B095C">
      <w:pPr>
        <w:ind w:left="7371" w:hanging="708"/>
        <w:rPr>
          <w:rFonts w:ascii="Amiri" w:eastAsia="Calibri" w:hAnsi="Amiri" w:cs="Amiri"/>
          <w:iCs/>
          <w:sz w:val="22"/>
          <w:szCs w:val="22"/>
          <w:lang w:eastAsia="en-US"/>
        </w:rPr>
      </w:pPr>
    </w:p>
    <w:sectPr w:rsidR="00270D4E" w:rsidRPr="0084431E" w:rsidSect="0084431E">
      <w:headerReference w:type="default" r:id="rId8"/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5A" w:rsidRDefault="00F20A5A">
      <w:r>
        <w:separator/>
      </w:r>
    </w:p>
  </w:endnote>
  <w:endnote w:type="continuationSeparator" w:id="0">
    <w:p w:rsidR="00F20A5A" w:rsidRDefault="00F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F4" w:rsidRPr="00961BD0" w:rsidRDefault="005046D5" w:rsidP="007D06F4">
    <w:pPr>
      <w:pStyle w:val="ComuneIndirizzo"/>
    </w:pPr>
    <w:r w:rsidRPr="00961BD0">
      <w:t>Corso Margherita di Savoia</w:t>
    </w:r>
  </w:p>
  <w:p w:rsidR="007D06F4" w:rsidRPr="00961BD0" w:rsidRDefault="005046D5" w:rsidP="007D06F4">
    <w:pPr>
      <w:pStyle w:val="ComuneIndirizzo"/>
    </w:pPr>
    <w:r w:rsidRPr="00961BD0">
      <w:t>73049 – Ruffano (Lecce)</w:t>
    </w:r>
  </w:p>
  <w:p w:rsidR="007D06F4" w:rsidRPr="00961BD0" w:rsidRDefault="005046D5" w:rsidP="007D06F4">
    <w:pPr>
      <w:pStyle w:val="ComuneIndirizzo"/>
    </w:pPr>
    <w:r w:rsidRPr="00961BD0">
      <w:t>T</w:t>
    </w:r>
    <w:r>
      <w:t>el.</w:t>
    </w:r>
    <w:r w:rsidRPr="00961BD0">
      <w:t xml:space="preserve"> +39 0833 6955</w:t>
    </w:r>
    <w:r>
      <w:t>86</w:t>
    </w:r>
  </w:p>
  <w:p w:rsidR="007D06F4" w:rsidRDefault="005046D5" w:rsidP="007D06F4">
    <w:pPr>
      <w:pStyle w:val="ComuneIndirizzo"/>
    </w:pPr>
    <w:r>
      <w:t>PEC ragioneria.comune.ruffano@pec.rupar.puglia.it</w:t>
    </w:r>
  </w:p>
  <w:p w:rsidR="007D06F4" w:rsidRDefault="00F20A5A" w:rsidP="007D06F4">
    <w:pPr>
      <w:pStyle w:val="ComuneIndirizzo"/>
    </w:pPr>
  </w:p>
  <w:p w:rsidR="007D06F4" w:rsidRDefault="005046D5" w:rsidP="007D06F4">
    <w:pPr>
      <w:pStyle w:val="ComuneIndirizzo"/>
    </w:pPr>
    <w:r>
      <w:t>www.comune.ruffano.le.it</w:t>
    </w:r>
  </w:p>
  <w:p w:rsidR="00920692" w:rsidRPr="007D06F4" w:rsidRDefault="00F20A5A" w:rsidP="007D06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5A" w:rsidRDefault="00F20A5A">
      <w:r>
        <w:separator/>
      </w:r>
    </w:p>
  </w:footnote>
  <w:footnote w:type="continuationSeparator" w:id="0">
    <w:p w:rsidR="00F20A5A" w:rsidRDefault="00F2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92" w:rsidRDefault="005046D5" w:rsidP="00CD027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2F776" wp14:editId="6ABC2E80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7570470" cy="2163445"/>
          <wp:effectExtent l="0" t="0" r="0" b="825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16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8"/>
        <w:szCs w:val="38"/>
      </w:rPr>
      <w:tab/>
    </w:r>
  </w:p>
  <w:p w:rsidR="00920692" w:rsidRDefault="00F20A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B6A"/>
    <w:multiLevelType w:val="multilevel"/>
    <w:tmpl w:val="146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B149D"/>
    <w:multiLevelType w:val="multilevel"/>
    <w:tmpl w:val="0902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C118A"/>
    <w:multiLevelType w:val="multilevel"/>
    <w:tmpl w:val="0F5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B09EE"/>
    <w:multiLevelType w:val="hybridMultilevel"/>
    <w:tmpl w:val="23F8340E"/>
    <w:lvl w:ilvl="0" w:tplc="31A630BC">
      <w:start w:val="3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6F86"/>
    <w:multiLevelType w:val="multilevel"/>
    <w:tmpl w:val="76400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C78DD"/>
    <w:multiLevelType w:val="hybridMultilevel"/>
    <w:tmpl w:val="7A4086D4"/>
    <w:lvl w:ilvl="0" w:tplc="C25275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00E"/>
    <w:multiLevelType w:val="multilevel"/>
    <w:tmpl w:val="2DF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C51791"/>
    <w:multiLevelType w:val="hybridMultilevel"/>
    <w:tmpl w:val="D0609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68"/>
    <w:multiLevelType w:val="multilevel"/>
    <w:tmpl w:val="9126F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8198C"/>
    <w:multiLevelType w:val="multilevel"/>
    <w:tmpl w:val="AFAE4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54B33"/>
    <w:multiLevelType w:val="hybridMultilevel"/>
    <w:tmpl w:val="83E8F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50923"/>
    <w:multiLevelType w:val="multilevel"/>
    <w:tmpl w:val="62ACD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36673"/>
    <w:multiLevelType w:val="hybridMultilevel"/>
    <w:tmpl w:val="DC58D64C"/>
    <w:lvl w:ilvl="0" w:tplc="ACD889B2">
      <w:start w:val="3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D5"/>
    <w:rsid w:val="00002B3C"/>
    <w:rsid w:val="000150FB"/>
    <w:rsid w:val="00021291"/>
    <w:rsid w:val="000327A0"/>
    <w:rsid w:val="000722D5"/>
    <w:rsid w:val="000908BC"/>
    <w:rsid w:val="000A3EB4"/>
    <w:rsid w:val="000A7689"/>
    <w:rsid w:val="000B0471"/>
    <w:rsid w:val="000B0D72"/>
    <w:rsid w:val="000C075E"/>
    <w:rsid w:val="000D15C4"/>
    <w:rsid w:val="000E1824"/>
    <w:rsid w:val="000E718A"/>
    <w:rsid w:val="000F383F"/>
    <w:rsid w:val="0010258A"/>
    <w:rsid w:val="00110465"/>
    <w:rsid w:val="00116AE6"/>
    <w:rsid w:val="001415D1"/>
    <w:rsid w:val="00153070"/>
    <w:rsid w:val="00171E80"/>
    <w:rsid w:val="00175059"/>
    <w:rsid w:val="0018327E"/>
    <w:rsid w:val="00183FFE"/>
    <w:rsid w:val="0019629F"/>
    <w:rsid w:val="001A574C"/>
    <w:rsid w:val="001E6ED3"/>
    <w:rsid w:val="001E736D"/>
    <w:rsid w:val="00216C7F"/>
    <w:rsid w:val="00225C91"/>
    <w:rsid w:val="0023185F"/>
    <w:rsid w:val="002442DE"/>
    <w:rsid w:val="00245A7F"/>
    <w:rsid w:val="0025163A"/>
    <w:rsid w:val="00255BB2"/>
    <w:rsid w:val="00256CEA"/>
    <w:rsid w:val="00270D4E"/>
    <w:rsid w:val="002A1293"/>
    <w:rsid w:val="002B53C9"/>
    <w:rsid w:val="002D5853"/>
    <w:rsid w:val="002D619E"/>
    <w:rsid w:val="002E350C"/>
    <w:rsid w:val="002F6F19"/>
    <w:rsid w:val="003070CE"/>
    <w:rsid w:val="0031242A"/>
    <w:rsid w:val="00327D0E"/>
    <w:rsid w:val="00327D85"/>
    <w:rsid w:val="00336A28"/>
    <w:rsid w:val="003726BA"/>
    <w:rsid w:val="00372AA8"/>
    <w:rsid w:val="00375432"/>
    <w:rsid w:val="003A45FF"/>
    <w:rsid w:val="003A5DB4"/>
    <w:rsid w:val="003B7C8D"/>
    <w:rsid w:val="003C67D2"/>
    <w:rsid w:val="003E5981"/>
    <w:rsid w:val="003F24E7"/>
    <w:rsid w:val="00406635"/>
    <w:rsid w:val="00412FC1"/>
    <w:rsid w:val="004346DD"/>
    <w:rsid w:val="004636E7"/>
    <w:rsid w:val="004850B2"/>
    <w:rsid w:val="00487240"/>
    <w:rsid w:val="004A16CE"/>
    <w:rsid w:val="004A35D9"/>
    <w:rsid w:val="004A45D9"/>
    <w:rsid w:val="004D32DB"/>
    <w:rsid w:val="004D4616"/>
    <w:rsid w:val="004F0F77"/>
    <w:rsid w:val="004F31B9"/>
    <w:rsid w:val="005002D6"/>
    <w:rsid w:val="005046D5"/>
    <w:rsid w:val="005138F3"/>
    <w:rsid w:val="00515530"/>
    <w:rsid w:val="005220B9"/>
    <w:rsid w:val="005349B5"/>
    <w:rsid w:val="00537CD8"/>
    <w:rsid w:val="00543175"/>
    <w:rsid w:val="005448F1"/>
    <w:rsid w:val="00553230"/>
    <w:rsid w:val="00553CC0"/>
    <w:rsid w:val="005668D4"/>
    <w:rsid w:val="00567580"/>
    <w:rsid w:val="00583160"/>
    <w:rsid w:val="0059045F"/>
    <w:rsid w:val="005A0BDB"/>
    <w:rsid w:val="005B095C"/>
    <w:rsid w:val="005D213E"/>
    <w:rsid w:val="0060626C"/>
    <w:rsid w:val="00607E5D"/>
    <w:rsid w:val="00612097"/>
    <w:rsid w:val="00613C43"/>
    <w:rsid w:val="00614786"/>
    <w:rsid w:val="006240A7"/>
    <w:rsid w:val="00625419"/>
    <w:rsid w:val="006317D5"/>
    <w:rsid w:val="0063747F"/>
    <w:rsid w:val="006611BC"/>
    <w:rsid w:val="00662E58"/>
    <w:rsid w:val="006925FC"/>
    <w:rsid w:val="006E3934"/>
    <w:rsid w:val="006E6E24"/>
    <w:rsid w:val="006F12B3"/>
    <w:rsid w:val="006F1790"/>
    <w:rsid w:val="00702E47"/>
    <w:rsid w:val="0070619B"/>
    <w:rsid w:val="00707035"/>
    <w:rsid w:val="00726FAB"/>
    <w:rsid w:val="00731E94"/>
    <w:rsid w:val="00735025"/>
    <w:rsid w:val="00782AB3"/>
    <w:rsid w:val="00786270"/>
    <w:rsid w:val="00790B4D"/>
    <w:rsid w:val="007A2841"/>
    <w:rsid w:val="007B398E"/>
    <w:rsid w:val="007B7E0D"/>
    <w:rsid w:val="007E2BD1"/>
    <w:rsid w:val="0080460F"/>
    <w:rsid w:val="008227A3"/>
    <w:rsid w:val="00831E01"/>
    <w:rsid w:val="00832681"/>
    <w:rsid w:val="008335BA"/>
    <w:rsid w:val="0083754C"/>
    <w:rsid w:val="0084431E"/>
    <w:rsid w:val="00856A59"/>
    <w:rsid w:val="00857C85"/>
    <w:rsid w:val="00860730"/>
    <w:rsid w:val="00865050"/>
    <w:rsid w:val="0086738A"/>
    <w:rsid w:val="008813CA"/>
    <w:rsid w:val="00887D7B"/>
    <w:rsid w:val="0089092E"/>
    <w:rsid w:val="008B7A8E"/>
    <w:rsid w:val="008C10CD"/>
    <w:rsid w:val="008D091F"/>
    <w:rsid w:val="008D3A57"/>
    <w:rsid w:val="008F0E61"/>
    <w:rsid w:val="00927C65"/>
    <w:rsid w:val="0094094F"/>
    <w:rsid w:val="00941FDB"/>
    <w:rsid w:val="009569FB"/>
    <w:rsid w:val="00960737"/>
    <w:rsid w:val="0096495E"/>
    <w:rsid w:val="00970637"/>
    <w:rsid w:val="00985421"/>
    <w:rsid w:val="0099569F"/>
    <w:rsid w:val="009975A6"/>
    <w:rsid w:val="009A258E"/>
    <w:rsid w:val="009C61CC"/>
    <w:rsid w:val="009D64D6"/>
    <w:rsid w:val="009D6A0A"/>
    <w:rsid w:val="009E156D"/>
    <w:rsid w:val="009E45DB"/>
    <w:rsid w:val="00A058DB"/>
    <w:rsid w:val="00A06A6B"/>
    <w:rsid w:val="00A13968"/>
    <w:rsid w:val="00A2745F"/>
    <w:rsid w:val="00A30A89"/>
    <w:rsid w:val="00A31682"/>
    <w:rsid w:val="00A523B6"/>
    <w:rsid w:val="00A658C0"/>
    <w:rsid w:val="00AA4819"/>
    <w:rsid w:val="00AC4206"/>
    <w:rsid w:val="00AC5565"/>
    <w:rsid w:val="00AD2669"/>
    <w:rsid w:val="00AD57A8"/>
    <w:rsid w:val="00AE4790"/>
    <w:rsid w:val="00AF13E9"/>
    <w:rsid w:val="00AF177D"/>
    <w:rsid w:val="00B04E06"/>
    <w:rsid w:val="00B26E4C"/>
    <w:rsid w:val="00B327D1"/>
    <w:rsid w:val="00B477F1"/>
    <w:rsid w:val="00B510C5"/>
    <w:rsid w:val="00B5755B"/>
    <w:rsid w:val="00B6770D"/>
    <w:rsid w:val="00B72C68"/>
    <w:rsid w:val="00BA0E52"/>
    <w:rsid w:val="00BC4E29"/>
    <w:rsid w:val="00BD69A9"/>
    <w:rsid w:val="00BF2F84"/>
    <w:rsid w:val="00BF3B0A"/>
    <w:rsid w:val="00C05355"/>
    <w:rsid w:val="00C056FC"/>
    <w:rsid w:val="00C36275"/>
    <w:rsid w:val="00C406F1"/>
    <w:rsid w:val="00C4749D"/>
    <w:rsid w:val="00C54F2F"/>
    <w:rsid w:val="00C70785"/>
    <w:rsid w:val="00C72387"/>
    <w:rsid w:val="00C77314"/>
    <w:rsid w:val="00C814FD"/>
    <w:rsid w:val="00C87381"/>
    <w:rsid w:val="00CB446F"/>
    <w:rsid w:val="00CB5122"/>
    <w:rsid w:val="00CC0954"/>
    <w:rsid w:val="00CD2590"/>
    <w:rsid w:val="00CD3F70"/>
    <w:rsid w:val="00CD776D"/>
    <w:rsid w:val="00CE68E1"/>
    <w:rsid w:val="00D429A9"/>
    <w:rsid w:val="00D51928"/>
    <w:rsid w:val="00D5231F"/>
    <w:rsid w:val="00D609D6"/>
    <w:rsid w:val="00D66F54"/>
    <w:rsid w:val="00DA0AFE"/>
    <w:rsid w:val="00DA0D9F"/>
    <w:rsid w:val="00DC1265"/>
    <w:rsid w:val="00DD2109"/>
    <w:rsid w:val="00DE3155"/>
    <w:rsid w:val="00DF28BC"/>
    <w:rsid w:val="00DF477B"/>
    <w:rsid w:val="00E179A4"/>
    <w:rsid w:val="00E326B2"/>
    <w:rsid w:val="00E3564A"/>
    <w:rsid w:val="00E43C19"/>
    <w:rsid w:val="00E67FC7"/>
    <w:rsid w:val="00E732CA"/>
    <w:rsid w:val="00EB20DA"/>
    <w:rsid w:val="00EB79B1"/>
    <w:rsid w:val="00EC2A70"/>
    <w:rsid w:val="00EC55FB"/>
    <w:rsid w:val="00EE2B09"/>
    <w:rsid w:val="00EE498C"/>
    <w:rsid w:val="00EE7359"/>
    <w:rsid w:val="00EF0216"/>
    <w:rsid w:val="00EF054F"/>
    <w:rsid w:val="00EF2E74"/>
    <w:rsid w:val="00EF5B6B"/>
    <w:rsid w:val="00EF5CDE"/>
    <w:rsid w:val="00EF7D56"/>
    <w:rsid w:val="00F20A5A"/>
    <w:rsid w:val="00F226BE"/>
    <w:rsid w:val="00F242E7"/>
    <w:rsid w:val="00F42D8D"/>
    <w:rsid w:val="00F51E28"/>
    <w:rsid w:val="00F62C64"/>
    <w:rsid w:val="00F657BB"/>
    <w:rsid w:val="00F7558B"/>
    <w:rsid w:val="00F7580B"/>
    <w:rsid w:val="00FA7707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63E1-3A2A-407E-9C99-551625E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46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46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04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46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uneIndirizzo">
    <w:name w:val="Comune Indirizzo"/>
    <w:basedOn w:val="Normale"/>
    <w:qFormat/>
    <w:rsid w:val="005046D5"/>
    <w:pPr>
      <w:tabs>
        <w:tab w:val="left" w:pos="5387"/>
      </w:tabs>
      <w:spacing w:line="190" w:lineRule="exact"/>
    </w:pPr>
    <w:rPr>
      <w:rFonts w:ascii="Roboto" w:eastAsia="MS Mincho" w:hAnsi="Roboto" w:cs="Amiri"/>
      <w:sz w:val="15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54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3502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346DD"/>
    <w:rPr>
      <w:b/>
      <w:bCs/>
      <w:color w:val="000022"/>
    </w:rPr>
  </w:style>
  <w:style w:type="table" w:styleId="Grigliatabella">
    <w:name w:val="Table Grid"/>
    <w:basedOn w:val="Tabellanormale"/>
    <w:uiPriority w:val="39"/>
    <w:rsid w:val="00CE68E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2B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2AEE-9844-4BFF-8A1A-796A820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Ruffano</dc:creator>
  <cp:keywords/>
  <dc:description/>
  <cp:lastModifiedBy>Laura Vanesio</cp:lastModifiedBy>
  <cp:revision>24</cp:revision>
  <cp:lastPrinted>2021-05-17T11:20:00Z</cp:lastPrinted>
  <dcterms:created xsi:type="dcterms:W3CDTF">2021-05-14T08:25:00Z</dcterms:created>
  <dcterms:modified xsi:type="dcterms:W3CDTF">2021-06-04T07:35:00Z</dcterms:modified>
</cp:coreProperties>
</file>